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393" w:rsidRDefault="00541393">
      <w:pPr>
        <w:shd w:val="solid" w:color="FFFFFF" w:fill="FFFFFF"/>
      </w:pPr>
      <w:bookmarkStart w:id="0" w:name="_GoBack"/>
      <w:bookmarkEnd w:id="0"/>
    </w:p>
    <w:tbl>
      <w:tblPr>
        <w:tblpPr w:leftFromText="180" w:rightFromText="180" w:horzAnchor="margin" w:tblpY="1"/>
        <w:tblW w:w="0" w:type="auto"/>
        <w:tblBorders>
          <w:bottom w:val="single" w:sz="18" w:space="0" w:color="FF0000"/>
          <w:insideV w:val="single" w:sz="18" w:space="0" w:color="auto"/>
        </w:tblBorders>
        <w:tblLayout w:type="fixed"/>
        <w:tblCellMar>
          <w:left w:w="0" w:type="dxa"/>
          <w:right w:w="0" w:type="dxa"/>
        </w:tblCellMar>
        <w:tblLook w:val="0000" w:firstRow="0" w:lastRow="0" w:firstColumn="0" w:lastColumn="0" w:noHBand="0" w:noVBand="0"/>
      </w:tblPr>
      <w:tblGrid>
        <w:gridCol w:w="8835"/>
      </w:tblGrid>
      <w:tr w:rsidR="00541393">
        <w:trPr>
          <w:trHeight w:hRule="exact" w:val="2051"/>
        </w:trPr>
        <w:tc>
          <w:tcPr>
            <w:tcW w:w="8835" w:type="dxa"/>
            <w:tcMar>
              <w:left w:w="0" w:type="dxa"/>
              <w:right w:w="0" w:type="dxa"/>
            </w:tcMar>
            <w:vAlign w:val="center"/>
          </w:tcPr>
          <w:p w:rsidR="00541393" w:rsidRDefault="00541393">
            <w:pPr>
              <w:shd w:val="solid" w:color="FFFFFF" w:fill="FFFFFF"/>
              <w:jc w:val="center"/>
              <w:rPr>
                <w:rFonts w:ascii="Times New Roman" w:hAnsi="Times New Roman"/>
              </w:rPr>
            </w:pPr>
            <w:r>
              <w:rPr>
                <w:rFonts w:ascii="方正小标宋简体" w:eastAsia="方正小标宋简体" w:hAnsi="Times New Roman" w:hint="eastAsia"/>
                <w:color w:val="FF0000"/>
                <w:spacing w:val="80"/>
                <w:w w:val="80"/>
                <w:sz w:val="122"/>
                <w:szCs w:val="122"/>
              </w:rPr>
              <w:t>湖北大学文</w:t>
            </w:r>
            <w:r>
              <w:rPr>
                <w:rFonts w:ascii="方正小标宋简体" w:eastAsia="方正小标宋简体" w:hAnsi="Times New Roman" w:hint="eastAsia"/>
                <w:color w:val="FF0000"/>
                <w:w w:val="80"/>
                <w:sz w:val="122"/>
                <w:szCs w:val="122"/>
              </w:rPr>
              <w:t>件</w:t>
            </w:r>
          </w:p>
        </w:tc>
      </w:tr>
      <w:tr w:rsidR="00541393">
        <w:trPr>
          <w:trHeight w:hRule="exact" w:val="510"/>
        </w:trPr>
        <w:tc>
          <w:tcPr>
            <w:tcW w:w="8835" w:type="dxa"/>
            <w:tcMar>
              <w:left w:w="0" w:type="dxa"/>
              <w:right w:w="0" w:type="dxa"/>
            </w:tcMar>
            <w:vAlign w:val="center"/>
          </w:tcPr>
          <w:p w:rsidR="00541393" w:rsidRDefault="00541393">
            <w:pPr>
              <w:shd w:val="solid" w:color="FFFFFF" w:fill="FFFFFF"/>
              <w:spacing w:line="560" w:lineRule="exact"/>
              <w:jc w:val="center"/>
              <w:rPr>
                <w:rFonts w:ascii="仿宋_GB2312" w:eastAsia="仿宋_GB2312" w:hAnsi="Times New Roman"/>
                <w:snapToGrid w:val="0"/>
                <w:sz w:val="32"/>
                <w:szCs w:val="32"/>
              </w:rPr>
            </w:pPr>
          </w:p>
        </w:tc>
      </w:tr>
      <w:tr w:rsidR="00541393">
        <w:trPr>
          <w:trHeight w:hRule="exact" w:val="665"/>
        </w:trPr>
        <w:tc>
          <w:tcPr>
            <w:tcW w:w="8835" w:type="dxa"/>
            <w:tcMar>
              <w:left w:w="0" w:type="dxa"/>
              <w:right w:w="0" w:type="dxa"/>
            </w:tcMar>
            <w:vAlign w:val="center"/>
          </w:tcPr>
          <w:p w:rsidR="00541393" w:rsidRDefault="00541393">
            <w:pPr>
              <w:shd w:val="solid" w:color="FFFFFF" w:fill="FFFFFF"/>
              <w:spacing w:line="560" w:lineRule="exact"/>
              <w:jc w:val="center"/>
              <w:rPr>
                <w:rFonts w:ascii="仿宋_GB2312" w:eastAsia="仿宋_GB2312" w:hAnsi="Times New Roman"/>
                <w:snapToGrid w:val="0"/>
                <w:sz w:val="32"/>
                <w:szCs w:val="32"/>
              </w:rPr>
            </w:pPr>
            <w:r>
              <w:rPr>
                <w:rFonts w:ascii="仿宋_GB2312" w:eastAsia="仿宋_GB2312" w:hAnsi="Times New Roman" w:hint="eastAsia"/>
                <w:snapToGrid w:val="0"/>
                <w:sz w:val="32"/>
                <w:szCs w:val="32"/>
              </w:rPr>
              <w:t>校教字</w:t>
            </w:r>
            <w:r>
              <w:rPr>
                <w:rFonts w:ascii="宋体" w:hAnsi="宋体" w:cs="宋体" w:hint="eastAsia"/>
                <w:snapToGrid w:val="0"/>
                <w:sz w:val="32"/>
                <w:szCs w:val="32"/>
              </w:rPr>
              <w:t>﹝</w:t>
            </w:r>
            <w:r>
              <w:rPr>
                <w:rFonts w:ascii="仿宋_GB2312" w:eastAsia="仿宋_GB2312" w:hAnsi="Times New Roman" w:hint="eastAsia"/>
                <w:snapToGrid w:val="0"/>
                <w:sz w:val="32"/>
                <w:szCs w:val="32"/>
              </w:rPr>
              <w:t>2017</w:t>
            </w:r>
            <w:r>
              <w:rPr>
                <w:rFonts w:ascii="宋体" w:hAnsi="宋体" w:cs="宋体" w:hint="eastAsia"/>
                <w:snapToGrid w:val="0"/>
                <w:sz w:val="32"/>
                <w:szCs w:val="32"/>
              </w:rPr>
              <w:t>﹞29</w:t>
            </w:r>
            <w:r>
              <w:rPr>
                <w:rFonts w:ascii="仿宋_GB2312" w:eastAsia="仿宋_GB2312" w:hAnsi="仿宋_GB2312" w:cs="仿宋_GB2312" w:hint="eastAsia"/>
                <w:snapToGrid w:val="0"/>
                <w:sz w:val="32"/>
                <w:szCs w:val="32"/>
              </w:rPr>
              <w:t>号</w:t>
            </w:r>
          </w:p>
          <w:p w:rsidR="00541393" w:rsidRDefault="00541393">
            <w:pPr>
              <w:shd w:val="solid" w:color="FFFFFF" w:fill="FFFFFF"/>
              <w:spacing w:line="560" w:lineRule="exact"/>
              <w:rPr>
                <w:rFonts w:ascii="仿宋_GB2312" w:eastAsia="仿宋_GB2312" w:hAnsi="Times New Roman"/>
                <w:snapToGrid w:val="0"/>
                <w:sz w:val="32"/>
                <w:szCs w:val="32"/>
              </w:rPr>
            </w:pPr>
          </w:p>
        </w:tc>
      </w:tr>
    </w:tbl>
    <w:p w:rsidR="00541393" w:rsidRDefault="00541393">
      <w:pPr>
        <w:ind w:firstLine="560"/>
        <w:jc w:val="center"/>
        <w:rPr>
          <w:rFonts w:ascii="方正小标宋简体" w:eastAsia="方正小标宋简体" w:hAnsi="黑体" w:cs="黑体"/>
          <w:sz w:val="44"/>
          <w:szCs w:val="44"/>
        </w:rPr>
      </w:pPr>
      <w:r>
        <w:rPr>
          <w:rFonts w:ascii="方正小标宋简体" w:eastAsia="方正小标宋简体" w:hAnsi="黑体" w:cs="黑体" w:hint="eastAsia"/>
          <w:sz w:val="44"/>
          <w:szCs w:val="44"/>
        </w:rPr>
        <w:t>湖北大学关于加强通识教育选修课程</w:t>
      </w:r>
    </w:p>
    <w:p w:rsidR="00541393" w:rsidRDefault="00541393">
      <w:pPr>
        <w:ind w:firstLine="560"/>
        <w:jc w:val="center"/>
        <w:rPr>
          <w:rFonts w:ascii="方正小标宋简体" w:eastAsia="方正小标宋简体" w:hAnsi="黑体" w:cs="黑体"/>
          <w:sz w:val="44"/>
          <w:szCs w:val="44"/>
        </w:rPr>
      </w:pPr>
      <w:r>
        <w:rPr>
          <w:rFonts w:ascii="方正小标宋简体" w:eastAsia="方正小标宋简体" w:hAnsi="黑体" w:cs="黑体" w:hint="eastAsia"/>
          <w:sz w:val="44"/>
          <w:szCs w:val="44"/>
        </w:rPr>
        <w:t>建设的实施意见</w:t>
      </w:r>
    </w:p>
    <w:p w:rsidR="00541393" w:rsidRDefault="00541393">
      <w:pPr>
        <w:spacing w:line="520" w:lineRule="exact"/>
        <w:ind w:firstLine="560"/>
        <w:jc w:val="center"/>
        <w:rPr>
          <w:rFonts w:ascii="仿宋_GB2312" w:eastAsia="仿宋_GB2312" w:hAnsi="黑体" w:cs="黑体"/>
          <w:sz w:val="32"/>
          <w:szCs w:val="32"/>
        </w:rPr>
      </w:pP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为充分发挥通识教育在培养一流本科人才中的重要作用，学校决定进一步完善通识教育课程体系，提高通识教育课程质量，并积极借鉴国内外高水平大学课程建设经验，在原有通识课程体系的基础上，科学设置通识教育选修核心课程和通识教育选修普通课程。具体实施意见如下。</w:t>
      </w:r>
    </w:p>
    <w:p w:rsidR="00541393" w:rsidRDefault="00541393">
      <w:pPr>
        <w:spacing w:line="520" w:lineRule="exact"/>
        <w:ind w:firstLineChars="50" w:firstLine="160"/>
        <w:rPr>
          <w:rFonts w:ascii="黑体" w:eastAsia="黑体" w:hAnsi="黑体" w:cs="宋体"/>
          <w:bCs/>
          <w:sz w:val="32"/>
          <w:szCs w:val="32"/>
        </w:rPr>
      </w:pPr>
      <w:r>
        <w:rPr>
          <w:rFonts w:ascii="黑体" w:eastAsia="黑体" w:hAnsi="黑体" w:cs="宋体" w:hint="eastAsia"/>
          <w:sz w:val="32"/>
          <w:szCs w:val="32"/>
        </w:rPr>
        <w:t xml:space="preserve">   </w:t>
      </w:r>
      <w:r>
        <w:rPr>
          <w:rFonts w:ascii="黑体" w:eastAsia="黑体" w:hAnsi="黑体" w:cs="宋体" w:hint="eastAsia"/>
          <w:bCs/>
          <w:sz w:val="32"/>
          <w:szCs w:val="32"/>
        </w:rPr>
        <w:t>一、指导思想</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围绕学校“十三五” “提质、进位、百强”目标定位，坚持“通识为体、专业为用”的教育理念，科学推进通识教育与专业教育相渗透、一般教育与特色教育相结合，有效引导学生广泛涉猎不同学科领域，学习不同学科的思想方法，学会正确的价值判断和逻辑思维，全面提升学生内在素质，培养具有人文底蕴、科学精神和跨文化沟通能力的创新型人才，有效促进学生树立正确的人生观、价值观和世界观，为建构自我、承担使命、奉献社会并逐步成长为 “国民表率、社会栋梁”打下扎实的基础。</w:t>
      </w:r>
    </w:p>
    <w:p w:rsidR="00541393" w:rsidRDefault="00541393">
      <w:pPr>
        <w:spacing w:line="520" w:lineRule="exact"/>
        <w:ind w:firstLineChars="200" w:firstLine="640"/>
        <w:rPr>
          <w:rFonts w:ascii="黑体" w:eastAsia="黑体" w:hAnsi="黑体" w:cs="宋体"/>
          <w:sz w:val="32"/>
          <w:szCs w:val="32"/>
        </w:rPr>
      </w:pPr>
      <w:r>
        <w:rPr>
          <w:rFonts w:ascii="黑体" w:eastAsia="黑体" w:hAnsi="黑体" w:cs="宋体" w:hint="eastAsia"/>
          <w:sz w:val="32"/>
          <w:szCs w:val="32"/>
        </w:rPr>
        <w:lastRenderedPageBreak/>
        <w:t>二、总体目标</w:t>
      </w:r>
    </w:p>
    <w:p w:rsidR="00541393" w:rsidRDefault="00541393">
      <w:pPr>
        <w:pStyle w:val="a4"/>
        <w:spacing w:line="520" w:lineRule="exact"/>
        <w:ind w:firstLine="560"/>
        <w:jc w:val="both"/>
        <w:rPr>
          <w:rFonts w:ascii="仿宋_GB2312" w:eastAsia="仿宋_GB2312" w:hAnsi="宋体" w:cs="宋体"/>
          <w:color w:val="000000"/>
          <w:sz w:val="32"/>
          <w:szCs w:val="32"/>
        </w:rPr>
      </w:pPr>
      <w:r>
        <w:rPr>
          <w:rFonts w:ascii="仿宋_GB2312" w:eastAsia="仿宋_GB2312" w:hAnsi="宋体" w:cs="宋体" w:hint="eastAsia"/>
          <w:color w:val="000000"/>
          <w:sz w:val="32"/>
          <w:szCs w:val="32"/>
        </w:rPr>
        <w:t>“</w:t>
      </w:r>
      <w:r>
        <w:rPr>
          <w:rFonts w:ascii="仿宋_GB2312" w:eastAsia="仿宋_GB2312" w:hAnsi="宋体" w:hint="eastAsia"/>
          <w:sz w:val="32"/>
          <w:szCs w:val="32"/>
        </w:rPr>
        <w:t>十三五</w:t>
      </w:r>
      <w:r>
        <w:rPr>
          <w:rFonts w:ascii="仿宋_GB2312" w:eastAsia="仿宋_GB2312" w:hAnsi="宋体" w:cs="宋体" w:hint="eastAsia"/>
          <w:color w:val="000000"/>
          <w:sz w:val="32"/>
          <w:szCs w:val="32"/>
        </w:rPr>
        <w:t>”</w:t>
      </w:r>
      <w:r>
        <w:rPr>
          <w:rFonts w:ascii="仿宋_GB2312" w:eastAsia="仿宋_GB2312" w:hAnsi="宋体" w:hint="eastAsia"/>
          <w:sz w:val="32"/>
          <w:szCs w:val="32"/>
        </w:rPr>
        <w:t>期间，</w:t>
      </w:r>
      <w:r>
        <w:rPr>
          <w:rFonts w:ascii="仿宋_GB2312" w:eastAsia="仿宋_GB2312" w:hAnsi="宋体" w:cs="宋体" w:hint="eastAsia"/>
          <w:color w:val="000000"/>
          <w:sz w:val="32"/>
          <w:szCs w:val="32"/>
        </w:rPr>
        <w:t>按照“建设一批、购买一批、共享一批”的思路，规划建设100门左右的通识教育</w:t>
      </w:r>
      <w:r>
        <w:rPr>
          <w:rFonts w:ascii="仿宋_GB2312" w:eastAsia="仿宋_GB2312" w:hAnsi="宋体" w:cs="宋体" w:hint="eastAsia"/>
          <w:sz w:val="32"/>
          <w:szCs w:val="32"/>
        </w:rPr>
        <w:t>选修核心</w:t>
      </w:r>
      <w:r>
        <w:rPr>
          <w:rFonts w:ascii="仿宋_GB2312" w:eastAsia="仿宋_GB2312" w:hAnsi="宋体" w:cs="宋体" w:hint="eastAsia"/>
          <w:color w:val="000000"/>
          <w:sz w:val="32"/>
          <w:szCs w:val="32"/>
        </w:rPr>
        <w:t>课程，并将其中若干门课程打造成为国家级、省级、校级精品课程，形成</w:t>
      </w:r>
      <w:r>
        <w:rPr>
          <w:rFonts w:ascii="仿宋_GB2312" w:eastAsia="仿宋_GB2312" w:hAnsi="宋体" w:hint="eastAsia"/>
          <w:sz w:val="32"/>
          <w:szCs w:val="32"/>
        </w:rPr>
        <w:t>一批配套教材供学生自主学习；</w:t>
      </w:r>
      <w:r>
        <w:rPr>
          <w:rFonts w:ascii="仿宋_GB2312" w:eastAsia="仿宋_GB2312" w:hAnsi="宋体" w:cs="宋体" w:hint="eastAsia"/>
          <w:color w:val="000000"/>
          <w:sz w:val="32"/>
          <w:szCs w:val="32"/>
        </w:rPr>
        <w:t>推进优质资源课程的开发和共享。</w:t>
      </w:r>
    </w:p>
    <w:p w:rsidR="00541393" w:rsidRDefault="00541393">
      <w:pPr>
        <w:spacing w:line="520" w:lineRule="exact"/>
        <w:ind w:firstLineChars="200" w:firstLine="640"/>
        <w:rPr>
          <w:rFonts w:ascii="黑体" w:eastAsia="黑体" w:hAnsi="黑体" w:cs="宋体"/>
          <w:bCs/>
          <w:sz w:val="32"/>
          <w:szCs w:val="32"/>
        </w:rPr>
      </w:pPr>
      <w:r>
        <w:rPr>
          <w:rFonts w:ascii="黑体" w:eastAsia="黑体" w:hAnsi="黑体" w:cs="宋体" w:hint="eastAsia"/>
          <w:bCs/>
          <w:sz w:val="32"/>
          <w:szCs w:val="32"/>
        </w:rPr>
        <w:t>三、基本原则</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1.坚持以“一流本科教育”理念为引领，落实学校“一流本科教育”人才培养的改革设计理念，按照“平台优化、模块设置、学分量化、自主选课”的要求，进一步优化课程体系，拓展通识教育的宽度和深度</w:t>
      </w:r>
      <w:r>
        <w:rPr>
          <w:rFonts w:ascii="仿宋_GB2312" w:eastAsia="仿宋_GB2312" w:hAnsi="宋体" w:hint="eastAsia"/>
          <w:sz w:val="32"/>
          <w:szCs w:val="32"/>
        </w:rPr>
        <w:t>。</w:t>
      </w:r>
    </w:p>
    <w:p w:rsidR="00541393" w:rsidRDefault="00541393">
      <w:pPr>
        <w:pStyle w:val="a4"/>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2.坚持标准，有效体现通识教育核心课的价值特征。科学制定通识教育选修核心课程遴选标准，全面考虑课程的通识性、交叉性、国际性、创新性以及校本文化特性，培养学生的批判精神和创新能力，拓展学生的国际视野，体现学校办学传统、优势与特色。</w:t>
      </w:r>
    </w:p>
    <w:p w:rsidR="00541393" w:rsidRDefault="00541393">
      <w:pPr>
        <w:pStyle w:val="a4"/>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3.坚持通识教育课程设置的普适性。通识教育选修普通课程应有利于提升学生的逻辑思维和语言表达能力，有利于培养学生的责任意识、奉献精神和团队合作意识，有利于培养学生对多元文化兼容并蓄的胸怀。</w:t>
      </w:r>
    </w:p>
    <w:p w:rsidR="00541393" w:rsidRDefault="00541393">
      <w:pPr>
        <w:pStyle w:val="a4"/>
        <w:spacing w:line="520" w:lineRule="exact"/>
        <w:ind w:firstLine="560"/>
        <w:rPr>
          <w:rFonts w:ascii="仿宋_GB2312" w:eastAsia="仿宋_GB2312"/>
          <w:color w:val="FF0000"/>
          <w:sz w:val="32"/>
          <w:szCs w:val="32"/>
        </w:rPr>
      </w:pPr>
      <w:r>
        <w:rPr>
          <w:rFonts w:ascii="仿宋_GB2312" w:eastAsia="仿宋_GB2312" w:hAnsi="宋体" w:hint="eastAsia"/>
          <w:sz w:val="32"/>
          <w:szCs w:val="32"/>
        </w:rPr>
        <w:t>4.坚持团队发展，鼓励跨学科建设。按照“学校投入、学院主抓、教授领衔、团队优先”的立项建设原则，全面挖掘学校优质课程资源，着力打造一批具有学校特色、融入优秀学者文化的跨学科通识教育课程，培养一批热心教学、专注教学的优秀教师队伍和卓越教学团队。</w:t>
      </w:r>
    </w:p>
    <w:p w:rsidR="00541393" w:rsidRDefault="00541393">
      <w:pPr>
        <w:shd w:val="clear" w:color="auto" w:fill="FFFFFF"/>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5.坚持信息技术与教育教学的深度融合。</w:t>
      </w:r>
      <w:r>
        <w:rPr>
          <w:rFonts w:ascii="仿宋_GB2312" w:eastAsia="仿宋_GB2312" w:hAnsi="宋体" w:cs="宋体" w:hint="eastAsia"/>
          <w:color w:val="000000"/>
          <w:sz w:val="32"/>
          <w:szCs w:val="32"/>
        </w:rPr>
        <w:t>大力推行基于</w:t>
      </w:r>
      <w:r>
        <w:rPr>
          <w:rFonts w:ascii="仿宋_GB2312" w:eastAsia="仿宋_GB2312" w:hAnsi="宋体" w:cs="宋体" w:hint="eastAsia"/>
          <w:color w:val="000000"/>
          <w:sz w:val="32"/>
          <w:szCs w:val="32"/>
        </w:rPr>
        <w:lastRenderedPageBreak/>
        <w:t>“互联网+”的混合式课堂教学，推进小班化、探究式、启发式等教学方法改革，促进互动式教学和研究性学习，培养学生自主学习意识和能力，提高人才培养质量</w:t>
      </w:r>
      <w:r>
        <w:rPr>
          <w:rFonts w:ascii="仿宋_GB2312" w:eastAsia="仿宋_GB2312" w:hAnsi="宋体" w:cs="宋体" w:hint="eastAsia"/>
          <w:sz w:val="32"/>
          <w:szCs w:val="32"/>
        </w:rPr>
        <w:t>。</w:t>
      </w:r>
    </w:p>
    <w:p w:rsidR="00541393" w:rsidRDefault="00541393">
      <w:pPr>
        <w:spacing w:line="520" w:lineRule="exact"/>
        <w:ind w:firstLineChars="200" w:firstLine="640"/>
        <w:rPr>
          <w:rFonts w:ascii="黑体" w:eastAsia="黑体" w:hAnsi="黑体" w:cs="宋体"/>
          <w:sz w:val="32"/>
          <w:szCs w:val="32"/>
        </w:rPr>
      </w:pPr>
      <w:r>
        <w:rPr>
          <w:rFonts w:ascii="黑体" w:eastAsia="黑体" w:hAnsi="黑体" w:cs="宋体" w:hint="eastAsia"/>
          <w:sz w:val="32"/>
          <w:szCs w:val="32"/>
        </w:rPr>
        <w:t>四、课程类别</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学校</w:t>
      </w:r>
      <w:r>
        <w:rPr>
          <w:rFonts w:ascii="仿宋_GB2312" w:eastAsia="仿宋_GB2312" w:hAnsi="宋体" w:cs="宋体" w:hint="eastAsia"/>
          <w:sz w:val="32"/>
          <w:szCs w:val="32"/>
          <w:lang w:val="zh-CN"/>
        </w:rPr>
        <w:t>通识教育课程总体分为必修课和选修课两大部分,其中, 通识教育必修课即公共基础课的设置原则上不变，通识教育选修课分</w:t>
      </w:r>
      <w:r>
        <w:rPr>
          <w:rFonts w:ascii="仿宋_GB2312" w:eastAsia="仿宋_GB2312" w:hAnsi="宋体" w:cs="宋体" w:hint="eastAsia"/>
          <w:sz w:val="32"/>
          <w:szCs w:val="32"/>
        </w:rPr>
        <w:t>通识教育选修核心课程和通识教育选修普通课程两类。</w:t>
      </w:r>
    </w:p>
    <w:p w:rsidR="00541393" w:rsidRDefault="00541393">
      <w:pPr>
        <w:pStyle w:val="a4"/>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通识教育选修核心课程是指具有综合性、交叉性的主干课程。核心课程需由稳定的教学团队承担，团队负责人需由具有副高职称以上或已获得博士学位的具有丰富教学经验的骨干教师承担。</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通识教育选修普通课程应重在启发思想、传授方法和培育精神，而非讲授专门知识，应贯彻“少而精”的教学原则，一门课一般为1-2个学分，每周1－2学时，并在一学期内完成。</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大学四年修读通识教育选修课程学分不少于8学分。其中需修读通识教育选修核心课程至少2学分。原则上学生不得选与本专业人才培养方案中的专业必修课和专业选修课相同或相近的课程。</w:t>
      </w:r>
    </w:p>
    <w:p w:rsidR="00541393" w:rsidRDefault="00541393">
      <w:pPr>
        <w:spacing w:line="520" w:lineRule="exact"/>
        <w:ind w:firstLineChars="200" w:firstLine="640"/>
        <w:rPr>
          <w:rFonts w:ascii="黑体" w:eastAsia="黑体" w:hAnsi="黑体" w:cs="宋体"/>
          <w:sz w:val="32"/>
          <w:szCs w:val="32"/>
        </w:rPr>
      </w:pPr>
      <w:r>
        <w:rPr>
          <w:rFonts w:ascii="黑体" w:eastAsia="黑体" w:hAnsi="黑体" w:cs="宋体" w:hint="eastAsia"/>
          <w:sz w:val="32"/>
          <w:szCs w:val="32"/>
        </w:rPr>
        <w:t>五、课程模块设置</w:t>
      </w:r>
    </w:p>
    <w:p w:rsidR="00541393" w:rsidRDefault="00541393">
      <w:pPr>
        <w:spacing w:line="520" w:lineRule="exact"/>
        <w:ind w:firstLineChars="200" w:firstLine="640"/>
        <w:rPr>
          <w:rFonts w:ascii="仿宋_GB2312" w:eastAsia="仿宋_GB2312"/>
          <w:sz w:val="32"/>
          <w:szCs w:val="32"/>
        </w:rPr>
      </w:pPr>
      <w:r>
        <w:rPr>
          <w:rFonts w:ascii="仿宋_GB2312" w:eastAsia="仿宋_GB2312" w:hint="eastAsia"/>
          <w:sz w:val="32"/>
          <w:szCs w:val="32"/>
        </w:rPr>
        <w:t>根据我校通识教育目标，结合学科特点和优势，通识教育选修课程按“四大模块”设置，分别为：科学精神与科学技术、社会发展与公民教育、人文经典与人生修养、艺术鉴赏与审美人生。</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1.科学精神与科学技术</w:t>
      </w:r>
    </w:p>
    <w:p w:rsidR="00541393" w:rsidRDefault="00541393">
      <w:pPr>
        <w:spacing w:line="520" w:lineRule="exact"/>
        <w:ind w:firstLine="560"/>
        <w:rPr>
          <w:rFonts w:ascii="仿宋_GB2312" w:eastAsia="仿宋_GB2312"/>
          <w:sz w:val="32"/>
          <w:szCs w:val="32"/>
        </w:rPr>
      </w:pPr>
      <w:r>
        <w:rPr>
          <w:rFonts w:ascii="仿宋_GB2312" w:eastAsia="仿宋_GB2312" w:hAnsi="宋体" w:cs="宋体" w:hint="eastAsia"/>
          <w:sz w:val="32"/>
          <w:szCs w:val="32"/>
        </w:rPr>
        <w:lastRenderedPageBreak/>
        <w:t>主要涵盖物理、化学、数学、生物、信息、天文等自然科学及其工程技术领域，通过对不同学科典型案例的介绍，使学生形成良好的科学史观，了解最新的科技动态和趋势，领会科学精神的内涵和意义，学会运用科学思维发现、分析并解决问题，培养学生的科学探索和创新精神以及工程和技术意识。</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2.社会发展与公民教育</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主要涵盖社会学、政治学、法学、经济学、管理学、教育学、心理学等社会学科领域，通过学习社会科学的基本方法、概念与理论，正确认识和处理现代社会面临的重要问题，塑造健全人格，提升适应社会的能力，成为合格的社会公民。</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3.人文经典与人生修养</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主要涵盖文学、历史、哲学、伦理学等学科领域，通过经典导读与研讨，培养学生对文学作品的理解能力和人文关怀能力；使学生学会用历史的方法、以历史的眼光认识事物；使学生了解哲学分析的方法，培养思辨能力和批判精神，树立正确的人生观、价值观和世界观。</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4.艺术鉴赏与审美人生</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主要涵盖音乐、影视、戏曲表演、书法、绘画、雕塑、建筑、工业设计等艺术形式的内容。通过对艺术作品和艺术现象的分析与评价, 提升学生发现美的能力和审美情趣，养成学生高尚的情操。</w:t>
      </w:r>
    </w:p>
    <w:p w:rsidR="00541393" w:rsidRDefault="00541393">
      <w:pPr>
        <w:spacing w:line="520" w:lineRule="exact"/>
        <w:ind w:firstLineChars="200" w:firstLine="640"/>
        <w:rPr>
          <w:rFonts w:ascii="黑体" w:eastAsia="黑体" w:hAnsi="黑体" w:cs="宋体"/>
          <w:sz w:val="32"/>
          <w:szCs w:val="32"/>
        </w:rPr>
      </w:pPr>
      <w:r>
        <w:rPr>
          <w:rFonts w:ascii="黑体" w:eastAsia="黑体" w:hAnsi="黑体" w:cs="宋体" w:hint="eastAsia"/>
          <w:sz w:val="32"/>
          <w:szCs w:val="32"/>
        </w:rPr>
        <w:t>六、课程教学要求</w:t>
      </w:r>
    </w:p>
    <w:p w:rsidR="00541393" w:rsidRDefault="00541393">
      <w:pPr>
        <w:spacing w:line="520" w:lineRule="exact"/>
        <w:ind w:firstLine="560"/>
        <w:rPr>
          <w:rFonts w:ascii="仿宋_GB2312" w:eastAsia="仿宋_GB2312" w:hAnsi="宋体" w:cs="宋体"/>
          <w:sz w:val="32"/>
          <w:szCs w:val="32"/>
        </w:rPr>
      </w:pPr>
      <w:r>
        <w:rPr>
          <w:rFonts w:ascii="仿宋_GB2312" w:eastAsia="仿宋_GB2312" w:hAnsi="宋体" w:cs="宋体" w:hint="eastAsia"/>
          <w:sz w:val="32"/>
          <w:szCs w:val="32"/>
        </w:rPr>
        <w:t>1.通识教育选修课程内容可以设计成导论型、经典著作选读型、专题研究型、方法经验与技能型或其他类型。</w:t>
      </w:r>
    </w:p>
    <w:p w:rsidR="00541393" w:rsidRDefault="00541393">
      <w:pPr>
        <w:spacing w:line="520" w:lineRule="exact"/>
        <w:ind w:firstLine="567"/>
        <w:rPr>
          <w:rFonts w:ascii="仿宋_GB2312" w:eastAsia="仿宋_GB2312" w:hAnsi="宋体" w:cs="宋体"/>
          <w:sz w:val="32"/>
          <w:szCs w:val="32"/>
        </w:rPr>
      </w:pPr>
      <w:r>
        <w:rPr>
          <w:rFonts w:ascii="仿宋_GB2312" w:eastAsia="仿宋_GB2312" w:hAnsi="宋体" w:cs="宋体" w:hint="eastAsia"/>
          <w:sz w:val="32"/>
          <w:szCs w:val="32"/>
        </w:rPr>
        <w:t>2.教学重点应是启迪思路，讲解方法和跨学知识的内在</w:t>
      </w:r>
      <w:r>
        <w:rPr>
          <w:rFonts w:ascii="仿宋_GB2312" w:eastAsia="仿宋_GB2312" w:hAnsi="宋体" w:cs="宋体" w:hint="eastAsia"/>
          <w:sz w:val="32"/>
          <w:szCs w:val="32"/>
        </w:rPr>
        <w:lastRenderedPageBreak/>
        <w:t>联系，培养学生发现问题、分析问题和解决问题的能力。提倡运用课堂研讨、课堂模拟、项目参与、社会实践、角色扮演等多元教学方法，着力培养学生的科学精神、批判性思维以及跨学科的思维方法。</w:t>
      </w:r>
    </w:p>
    <w:p w:rsidR="00541393" w:rsidRDefault="00541393">
      <w:pPr>
        <w:spacing w:line="520" w:lineRule="exact"/>
        <w:ind w:firstLine="709"/>
        <w:rPr>
          <w:rFonts w:ascii="仿宋_GB2312" w:eastAsia="仿宋_GB2312" w:hAnsi="宋体" w:cs="宋体"/>
          <w:sz w:val="32"/>
          <w:szCs w:val="32"/>
        </w:rPr>
      </w:pPr>
      <w:r>
        <w:rPr>
          <w:rFonts w:ascii="仿宋_GB2312" w:eastAsia="仿宋_GB2312" w:hAnsi="宋体" w:cs="宋体" w:hint="eastAsia"/>
          <w:sz w:val="32"/>
          <w:szCs w:val="32"/>
        </w:rPr>
        <w:t>3.课程成绩评定应体现形成性评价原则，最终成绩由学生学习过程和自主学习情况等多元评价指标确定。</w:t>
      </w:r>
    </w:p>
    <w:p w:rsidR="00541393" w:rsidRDefault="00541393">
      <w:pPr>
        <w:spacing w:line="520" w:lineRule="exact"/>
        <w:ind w:firstLineChars="221" w:firstLine="707"/>
        <w:rPr>
          <w:rFonts w:ascii="黑体" w:eastAsia="黑体" w:hAnsi="黑体" w:cs="宋体"/>
          <w:bCs/>
          <w:sz w:val="32"/>
          <w:szCs w:val="32"/>
        </w:rPr>
      </w:pPr>
      <w:r>
        <w:rPr>
          <w:rFonts w:ascii="黑体" w:eastAsia="黑体" w:hAnsi="黑体" w:cs="宋体" w:hint="eastAsia"/>
          <w:bCs/>
          <w:sz w:val="32"/>
          <w:szCs w:val="32"/>
        </w:rPr>
        <w:t>七、组织实施</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通识教育选修普通课程设置实行课程审议制度，在教师申请、院（系）推荐的基础上，学校组织专家对申请推荐的各类通识教育课程从教学目标、课程内容、实施与评价方式、任课教师情况等方面进行审议，审议通过的课程方可列入通识教育选修普通课程。</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通识教育选修核心课程来源于两个方面，一是从原有的通识教育选修课程中精选符合要求的课程，二是结合学生知识、能力、素质要求和学校特色设计新的课程。通识教育选修核心课程采取遴选立项、定期评估和不断完善的方法进行建设，在公平竞争的机制下逐渐推出一批具有湖大特色的名师名课。</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w:t>
      </w:r>
      <w:r>
        <w:rPr>
          <w:rFonts w:ascii="仿宋_GB2312" w:eastAsia="仿宋_GB2312" w:hAnsi="宋体" w:hint="eastAsia"/>
          <w:sz w:val="32"/>
          <w:szCs w:val="32"/>
        </w:rPr>
        <w:t>强化顶层设计，完善配套机制。学校成立通识教育委员会，负责通识教育改革与课程建设，</w:t>
      </w:r>
      <w:r>
        <w:rPr>
          <w:rFonts w:ascii="仿宋_GB2312" w:eastAsia="仿宋_GB2312" w:hAnsi="宋体" w:cs="宋体" w:hint="eastAsia"/>
          <w:sz w:val="32"/>
          <w:szCs w:val="32"/>
        </w:rPr>
        <w:t>组建通识教育选修核心课程教学团队</w:t>
      </w:r>
      <w:r>
        <w:rPr>
          <w:rFonts w:ascii="仿宋_GB2312" w:eastAsia="仿宋_GB2312" w:hAnsi="宋体" w:hint="eastAsia"/>
          <w:sz w:val="32"/>
          <w:szCs w:val="32"/>
        </w:rPr>
        <w:t>。</w:t>
      </w:r>
      <w:r>
        <w:rPr>
          <w:rFonts w:ascii="仿宋_GB2312" w:eastAsia="仿宋_GB2312" w:hAnsi="宋体" w:cs="宋体" w:hint="eastAsia"/>
          <w:sz w:val="32"/>
          <w:szCs w:val="32"/>
        </w:rPr>
        <w:t>学校统一协调通识教育课程体系建设，确定</w:t>
      </w:r>
      <w:r>
        <w:rPr>
          <w:rFonts w:ascii="仿宋_GB2312" w:eastAsia="仿宋_GB2312" w:hAnsi="宋体" w:hint="eastAsia"/>
          <w:sz w:val="32"/>
          <w:szCs w:val="32"/>
        </w:rPr>
        <w:t>课程遴选标准以及课程主讲教师资格遴选条件，</w:t>
      </w:r>
      <w:r>
        <w:rPr>
          <w:rFonts w:ascii="仿宋_GB2312" w:eastAsia="仿宋_GB2312" w:hAnsi="宋体" w:cs="宋体" w:hint="eastAsia"/>
          <w:sz w:val="32"/>
          <w:szCs w:val="32"/>
        </w:rPr>
        <w:t>建立完善的课程评价指标体系，制定激励机制和淘汰机制。学院负责遴选和推荐优质通识课程，加强课程质量的评估和检查，学院开设通识教育选修核心课程的数量和质量，作为学院本科教学工作年度考核的重要指标。</w:t>
      </w:r>
    </w:p>
    <w:p w:rsidR="00541393" w:rsidRDefault="00541393">
      <w:pPr>
        <w:spacing w:line="520" w:lineRule="exact"/>
        <w:ind w:firstLineChars="196" w:firstLine="627"/>
        <w:rPr>
          <w:rFonts w:ascii="方正小标宋简体" w:eastAsia="方正小标宋简体" w:hAnsi="宋体" w:cs="宋体"/>
          <w:bCs/>
          <w:sz w:val="32"/>
          <w:szCs w:val="32"/>
        </w:rPr>
      </w:pPr>
      <w:r>
        <w:rPr>
          <w:rFonts w:ascii="方正小标宋简体" w:eastAsia="方正小标宋简体" w:hAnsi="宋体" w:cs="宋体" w:hint="eastAsia"/>
          <w:bCs/>
          <w:sz w:val="32"/>
          <w:szCs w:val="32"/>
        </w:rPr>
        <w:lastRenderedPageBreak/>
        <w:t>八、保障措施</w:t>
      </w:r>
    </w:p>
    <w:p w:rsidR="00541393" w:rsidRDefault="00541393">
      <w:pPr>
        <w:shd w:val="clear" w:color="auto" w:fill="FFFFFF"/>
        <w:spacing w:line="520" w:lineRule="exact"/>
        <w:ind w:firstLine="560"/>
        <w:rPr>
          <w:rFonts w:ascii="仿宋_GB2312" w:eastAsia="仿宋_GB2312" w:hAnsi="宋体" w:cs="宋体"/>
          <w:color w:val="000000"/>
          <w:sz w:val="32"/>
          <w:szCs w:val="32"/>
        </w:rPr>
      </w:pPr>
      <w:r>
        <w:rPr>
          <w:rFonts w:ascii="仿宋_GB2312" w:eastAsia="仿宋_GB2312" w:hAnsi="宋体" w:cs="宋体" w:hint="eastAsia"/>
          <w:color w:val="000000"/>
          <w:sz w:val="32"/>
          <w:szCs w:val="32"/>
        </w:rPr>
        <w:t>学校切实加强通识教育课程的检查评估与考核，配套制定相关的激励政策，保障通识教育</w:t>
      </w:r>
      <w:r>
        <w:rPr>
          <w:rFonts w:ascii="仿宋_GB2312" w:eastAsia="仿宋_GB2312" w:hAnsi="宋体" w:cs="宋体" w:hint="eastAsia"/>
          <w:sz w:val="32"/>
          <w:szCs w:val="32"/>
        </w:rPr>
        <w:t>选修</w:t>
      </w:r>
      <w:r>
        <w:rPr>
          <w:rFonts w:ascii="仿宋_GB2312" w:eastAsia="仿宋_GB2312" w:hAnsi="宋体" w:cs="宋体" w:hint="eastAsia"/>
          <w:color w:val="000000"/>
          <w:sz w:val="32"/>
          <w:szCs w:val="32"/>
        </w:rPr>
        <w:t>课程的建设质量。</w:t>
      </w: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1.专项投入，加快建设。设立学校“十三五”通识教育发展专项基金，加快通识教育课程团队建设、优秀教材编写、优质网络课程共享资源建设，确保学校“十三五”通识教育课程建设目标的顺利实施。</w:t>
      </w:r>
    </w:p>
    <w:p w:rsidR="00541393" w:rsidRDefault="00541393">
      <w:pPr>
        <w:spacing w:line="520" w:lineRule="exact"/>
        <w:ind w:firstLineChars="200" w:firstLine="640"/>
        <w:rPr>
          <w:rFonts w:ascii="仿宋_GB2312" w:eastAsia="仿宋_GB2312" w:hAnsi="宋体" w:cs="宋体"/>
          <w:color w:val="FF0000"/>
          <w:sz w:val="32"/>
          <w:szCs w:val="32"/>
        </w:rPr>
      </w:pPr>
      <w:r>
        <w:rPr>
          <w:rFonts w:ascii="仿宋_GB2312" w:eastAsia="仿宋_GB2312" w:hAnsi="宋体" w:cs="宋体" w:hint="eastAsia"/>
          <w:sz w:val="32"/>
          <w:szCs w:val="32"/>
        </w:rPr>
        <w:t>2.优化评价机制，加强考核管理。建立通识教育选修课程考核评价标准与评价机制，定期进行跟踪、监测、检查和评估，不断提高课程质量。加强课程选用管理及学分管理，确保通识教育选修课程教学效果，提升人才培养质量和水平。</w:t>
      </w:r>
    </w:p>
    <w:p w:rsidR="00541393" w:rsidRDefault="00541393">
      <w:pPr>
        <w:spacing w:line="520" w:lineRule="exact"/>
        <w:ind w:firstLineChars="200" w:firstLine="640"/>
        <w:rPr>
          <w:rFonts w:ascii="仿宋_GB2312" w:eastAsia="仿宋_GB2312" w:hAnsi="宋体" w:cs="宋体"/>
          <w:color w:val="FF0000"/>
          <w:sz w:val="32"/>
          <w:szCs w:val="32"/>
        </w:rPr>
      </w:pPr>
      <w:r>
        <w:rPr>
          <w:rFonts w:ascii="仿宋_GB2312" w:eastAsia="仿宋_GB2312" w:hAnsi="宋体" w:cs="宋体" w:hint="eastAsia"/>
          <w:sz w:val="32"/>
          <w:szCs w:val="32"/>
        </w:rPr>
        <w:t>3.完善激励机制，提升建设水平。鼓励教师积极参与通识教育选修课程建设，促进优秀教师主动承担通识教育核心选修课程教学的积极性。对每门核心课程给予5万元的经费支持，主要用于课程建设和绩效奖励。对于评估合格的通识教材，按每千字150元标准给予奖励，计算绩效奖励津贴。</w:t>
      </w:r>
    </w:p>
    <w:p w:rsidR="00541393" w:rsidRDefault="00541393">
      <w:pPr>
        <w:shd w:val="clear" w:color="auto" w:fill="FFFFFF"/>
        <w:spacing w:line="520" w:lineRule="exact"/>
        <w:ind w:firstLine="560"/>
        <w:rPr>
          <w:rFonts w:ascii="仿宋_GB2312" w:eastAsia="仿宋_GB2312" w:hAnsi="宋体" w:cs="宋体"/>
          <w:color w:val="000000"/>
          <w:sz w:val="32"/>
          <w:szCs w:val="32"/>
        </w:rPr>
      </w:pPr>
      <w:r>
        <w:rPr>
          <w:rFonts w:ascii="仿宋_GB2312" w:eastAsia="仿宋_GB2312" w:hAnsi="宋体" w:cs="宋体" w:hint="eastAsia"/>
          <w:color w:val="000000"/>
          <w:sz w:val="32"/>
          <w:szCs w:val="32"/>
        </w:rPr>
        <w:t>九、本意见自公布之日起执行，由教务处负责解释。</w:t>
      </w:r>
    </w:p>
    <w:p w:rsidR="00541393" w:rsidRDefault="00541393">
      <w:pPr>
        <w:pStyle w:val="1"/>
        <w:spacing w:after="0" w:line="520" w:lineRule="exact"/>
        <w:ind w:firstLineChars="0" w:firstLine="1440"/>
        <w:rPr>
          <w:rFonts w:ascii="仿宋_GB2312" w:eastAsia="仿宋_GB2312" w:hAnsi="黑体" w:cs="黑体"/>
          <w:sz w:val="32"/>
          <w:szCs w:val="32"/>
        </w:rPr>
      </w:pPr>
    </w:p>
    <w:p w:rsidR="00541393" w:rsidRDefault="00541393">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附件：湖北大学大学通识教育选修核心课程建设标准</w:t>
      </w:r>
    </w:p>
    <w:p w:rsidR="00541393" w:rsidRDefault="00541393">
      <w:pPr>
        <w:spacing w:line="520" w:lineRule="exact"/>
        <w:ind w:firstLineChars="1550" w:firstLine="4960"/>
        <w:rPr>
          <w:rFonts w:ascii="仿宋_GB2312" w:eastAsia="仿宋_GB2312" w:hAnsi="宋体" w:cs="宋体"/>
          <w:sz w:val="32"/>
          <w:szCs w:val="32"/>
        </w:rPr>
      </w:pPr>
    </w:p>
    <w:p w:rsidR="00541393" w:rsidRDefault="00541393">
      <w:pPr>
        <w:spacing w:line="520" w:lineRule="exact"/>
        <w:ind w:firstLineChars="1550" w:firstLine="4960"/>
        <w:rPr>
          <w:rFonts w:ascii="仿宋_GB2312" w:eastAsia="仿宋_GB2312" w:hAnsi="宋体" w:cs="宋体"/>
          <w:sz w:val="32"/>
          <w:szCs w:val="32"/>
        </w:rPr>
      </w:pPr>
    </w:p>
    <w:p w:rsidR="00541393" w:rsidRDefault="006D763B">
      <w:pPr>
        <w:spacing w:line="520" w:lineRule="exact"/>
        <w:ind w:firstLineChars="1700" w:firstLine="5440"/>
        <w:rPr>
          <w:rFonts w:ascii="仿宋_GB2312" w:eastAsia="仿宋_GB2312" w:hAnsi="宋体" w:cs="宋体"/>
          <w:sz w:val="32"/>
          <w:szCs w:val="32"/>
        </w:rPr>
      </w:pPr>
      <w:r>
        <w:rPr>
          <w:rFonts w:ascii="仿宋_GB2312" w:eastAsia="仿宋_GB2312" w:hAnsi="宋体" w:cs="宋体"/>
          <w:noProof/>
          <w:sz w:val="32"/>
          <w:szCs w:val="32"/>
        </w:rPr>
        <w:object w:dxaOrig="1440" w:dyaOrig="1440">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331.85pt;margin-top:628.05pt;width:125.25pt;height:125.25pt;z-index:-251658752;mso-position-horizontal-relative:page;mso-position-vertical-relative:page" stroked="f">
            <v:imagedata r:id="rId6" o:title=""/>
            <w10:wrap anchorx="page" anchory="page"/>
          </v:shape>
          <w:control r:id="rId7" w:name="SignatureCtrl1" w:shapeid="_x0000_s1026"/>
        </w:object>
      </w:r>
      <w:r w:rsidR="00541393">
        <w:rPr>
          <w:rFonts w:ascii="仿宋_GB2312" w:eastAsia="仿宋_GB2312" w:hAnsi="宋体" w:cs="宋体" w:hint="eastAsia"/>
          <w:sz w:val="32"/>
          <w:szCs w:val="32"/>
        </w:rPr>
        <w:t>湖 北 大 学</w:t>
      </w:r>
    </w:p>
    <w:p w:rsidR="00541393" w:rsidRDefault="00541393">
      <w:pPr>
        <w:spacing w:line="520" w:lineRule="exact"/>
        <w:ind w:firstLineChars="1600" w:firstLine="5120"/>
        <w:rPr>
          <w:rFonts w:ascii="仿宋_GB2312" w:eastAsia="仿宋_GB2312" w:hAnsi="宋体" w:cs="宋体"/>
          <w:sz w:val="32"/>
          <w:szCs w:val="32"/>
        </w:rPr>
      </w:pPr>
      <w:r>
        <w:rPr>
          <w:rFonts w:ascii="仿宋_GB2312" w:eastAsia="仿宋_GB2312" w:hAnsi="宋体" w:cs="宋体" w:hint="eastAsia"/>
          <w:sz w:val="32"/>
          <w:szCs w:val="32"/>
        </w:rPr>
        <w:t>2017年9月12日</w:t>
      </w:r>
    </w:p>
    <w:p w:rsidR="00541393" w:rsidRDefault="00541393">
      <w:pPr>
        <w:pStyle w:val="1"/>
        <w:ind w:firstLineChars="450" w:firstLine="1260"/>
        <w:rPr>
          <w:rFonts w:ascii="黑体" w:eastAsia="黑体" w:hAnsi="黑体" w:cs="黑体"/>
          <w:sz w:val="28"/>
          <w:szCs w:val="28"/>
        </w:rPr>
      </w:pPr>
    </w:p>
    <w:p w:rsidR="00541393" w:rsidRDefault="00541393">
      <w:pPr>
        <w:pStyle w:val="1"/>
        <w:ind w:firstLineChars="450" w:firstLine="1260"/>
        <w:rPr>
          <w:rFonts w:ascii="方正小标宋简体" w:eastAsia="方正小标宋简体" w:hAnsi="黑体" w:cs="黑体"/>
          <w:sz w:val="28"/>
          <w:szCs w:val="28"/>
        </w:rPr>
      </w:pPr>
      <w:r>
        <w:rPr>
          <w:rFonts w:ascii="方正小标宋简体" w:eastAsia="方正小标宋简体" w:hAnsi="黑体" w:cs="黑体" w:hint="eastAsia"/>
          <w:sz w:val="28"/>
          <w:szCs w:val="28"/>
        </w:rPr>
        <w:t>湖北大学大学通识教育选修核心课程建设标准</w:t>
      </w:r>
    </w:p>
    <w:tbl>
      <w:tblPr>
        <w:tblW w:w="0" w:type="auto"/>
        <w:tblInd w:w="11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991"/>
        <w:gridCol w:w="1125"/>
        <w:gridCol w:w="6240"/>
      </w:tblGrid>
      <w:tr w:rsidR="00541393">
        <w:trPr>
          <w:cantSplit/>
          <w:trHeight w:val="294"/>
        </w:trPr>
        <w:tc>
          <w:tcPr>
            <w:tcW w:w="991" w:type="dxa"/>
            <w:tcBorders>
              <w:top w:val="single" w:sz="6" w:space="0" w:color="000000"/>
              <w:left w:val="single" w:sz="6" w:space="0" w:color="000000"/>
              <w:bottom w:val="single" w:sz="6" w:space="0" w:color="000000"/>
              <w:right w:val="single" w:sz="6" w:space="0" w:color="000000"/>
            </w:tcBorders>
            <w:vAlign w:val="center"/>
          </w:tcPr>
          <w:p w:rsidR="00541393" w:rsidRDefault="00541393">
            <w:pPr>
              <w:spacing w:line="240" w:lineRule="atLeast"/>
              <w:jc w:val="center"/>
              <w:rPr>
                <w:rFonts w:ascii="宋体" w:hAnsi="宋体"/>
                <w:b/>
                <w:sz w:val="15"/>
                <w:szCs w:val="15"/>
              </w:rPr>
            </w:pPr>
            <w:r>
              <w:rPr>
                <w:rFonts w:ascii="宋体" w:hAnsi="宋体" w:hint="eastAsia"/>
                <w:b/>
                <w:sz w:val="15"/>
                <w:szCs w:val="15"/>
              </w:rPr>
              <w:lastRenderedPageBreak/>
              <w:t>一级指标</w:t>
            </w:r>
          </w:p>
        </w:tc>
        <w:tc>
          <w:tcPr>
            <w:tcW w:w="1125" w:type="dxa"/>
            <w:tcBorders>
              <w:top w:val="single" w:sz="6" w:space="0" w:color="000000"/>
              <w:left w:val="nil"/>
              <w:bottom w:val="single" w:sz="6" w:space="0" w:color="000000"/>
              <w:right w:val="single" w:sz="6" w:space="0" w:color="000000"/>
            </w:tcBorders>
            <w:vAlign w:val="center"/>
          </w:tcPr>
          <w:p w:rsidR="00541393" w:rsidRDefault="00541393">
            <w:pPr>
              <w:spacing w:line="240" w:lineRule="atLeast"/>
              <w:jc w:val="center"/>
              <w:rPr>
                <w:rFonts w:ascii="宋体" w:hAnsi="宋体"/>
                <w:b/>
                <w:sz w:val="15"/>
                <w:szCs w:val="15"/>
              </w:rPr>
            </w:pPr>
            <w:r>
              <w:rPr>
                <w:rFonts w:ascii="宋体" w:hAnsi="宋体" w:hint="eastAsia"/>
                <w:b/>
                <w:sz w:val="15"/>
                <w:szCs w:val="15"/>
              </w:rPr>
              <w:t>二级指标</w:t>
            </w:r>
          </w:p>
        </w:tc>
        <w:tc>
          <w:tcPr>
            <w:tcW w:w="6240" w:type="dxa"/>
            <w:tcBorders>
              <w:top w:val="single" w:sz="6" w:space="0" w:color="000000"/>
              <w:left w:val="nil"/>
              <w:bottom w:val="single" w:sz="6" w:space="0" w:color="000000"/>
              <w:right w:val="single" w:sz="6" w:space="0" w:color="000000"/>
            </w:tcBorders>
            <w:vAlign w:val="center"/>
          </w:tcPr>
          <w:p w:rsidR="00541393" w:rsidRDefault="00541393">
            <w:pPr>
              <w:spacing w:line="240" w:lineRule="atLeast"/>
              <w:jc w:val="center"/>
              <w:rPr>
                <w:rFonts w:ascii="宋体" w:hAnsi="宋体"/>
                <w:b/>
                <w:sz w:val="15"/>
                <w:szCs w:val="15"/>
              </w:rPr>
            </w:pPr>
            <w:r>
              <w:rPr>
                <w:rFonts w:ascii="宋体" w:hAnsi="宋体" w:hint="eastAsia"/>
                <w:b/>
                <w:sz w:val="15"/>
                <w:szCs w:val="15"/>
              </w:rPr>
              <w:t>建设要求</w:t>
            </w:r>
          </w:p>
        </w:tc>
      </w:tr>
      <w:tr w:rsidR="00541393">
        <w:trPr>
          <w:cantSplit/>
          <w:trHeight w:hRule="exact" w:val="418"/>
        </w:trPr>
        <w:tc>
          <w:tcPr>
            <w:tcW w:w="991" w:type="dxa"/>
            <w:vMerge w:val="restart"/>
            <w:tcBorders>
              <w:top w:val="nil"/>
              <w:left w:val="single" w:sz="6" w:space="0" w:color="000000"/>
              <w:bottom w:val="single" w:sz="6" w:space="0" w:color="000000"/>
              <w:right w:val="single" w:sz="6" w:space="0" w:color="000000"/>
            </w:tcBorders>
            <w:tcMar>
              <w:left w:w="60" w:type="dxa"/>
              <w:right w:w="60" w:type="dxa"/>
            </w:tcMar>
            <w:vAlign w:val="center"/>
          </w:tcPr>
          <w:p w:rsidR="00541393" w:rsidRDefault="00541393">
            <w:pPr>
              <w:rPr>
                <w:rFonts w:ascii="宋体" w:hAnsi="宋体" w:cs="宋体"/>
                <w:sz w:val="15"/>
                <w:szCs w:val="15"/>
              </w:rPr>
            </w:pPr>
            <w:r>
              <w:rPr>
                <w:rFonts w:ascii="宋体" w:hAnsi="宋体" w:cs="宋体" w:hint="eastAsia"/>
                <w:sz w:val="15"/>
                <w:szCs w:val="15"/>
              </w:rPr>
              <w:t>课程目标与定位（5分）</w:t>
            </w: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rPr>
                <w:rFonts w:ascii="宋体" w:hAnsi="宋体" w:cs="宋体"/>
                <w:sz w:val="15"/>
                <w:szCs w:val="15"/>
              </w:rPr>
            </w:pPr>
            <w:r>
              <w:rPr>
                <w:rFonts w:ascii="宋体" w:hAnsi="宋体" w:cs="宋体" w:hint="eastAsia"/>
                <w:sz w:val="15"/>
                <w:szCs w:val="15"/>
              </w:rPr>
              <w:t>课程定位（2分）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符合学校通识课程模块特征；体现学校办学传统、优势与特色。</w:t>
            </w:r>
          </w:p>
        </w:tc>
      </w:tr>
      <w:tr w:rsidR="00541393">
        <w:trPr>
          <w:cantSplit/>
          <w:trHeight w:hRule="exact" w:val="512"/>
        </w:trPr>
        <w:tc>
          <w:tcPr>
            <w:tcW w:w="991" w:type="dxa"/>
            <w:vMerge/>
            <w:tcBorders>
              <w:top w:val="nil"/>
              <w:left w:val="single" w:sz="6" w:space="0" w:color="000000"/>
              <w:bottom w:val="single" w:sz="6" w:space="0" w:color="000000"/>
              <w:right w:val="single" w:sz="6" w:space="0" w:color="000000"/>
            </w:tcBorders>
            <w:tcMar>
              <w:left w:w="60" w:type="dxa"/>
              <w:right w:w="60" w:type="dxa"/>
            </w:tcMar>
            <w:vAlign w:val="center"/>
          </w:tcPr>
          <w:p w:rsidR="00541393" w:rsidRDefault="00541393">
            <w:pPr>
              <w:rPr>
                <w:rFonts w:ascii="宋体" w:hAnsi="宋体" w:cs="宋体"/>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rPr>
                <w:rFonts w:ascii="宋体" w:hAnsi="宋体" w:cs="宋体"/>
                <w:sz w:val="15"/>
                <w:szCs w:val="15"/>
              </w:rPr>
            </w:pPr>
            <w:r>
              <w:rPr>
                <w:rFonts w:ascii="宋体" w:hAnsi="宋体" w:cs="宋体" w:hint="eastAsia"/>
                <w:sz w:val="15"/>
                <w:szCs w:val="15"/>
              </w:rPr>
              <w:t>课程目标（3分）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课程目标明确，旨在引导学生广泛涉猎不同学科领域，培养多学科思维，提高人文素养和科学素养，培养学生顽强的意志、高尚的情操和健全的人格。</w:t>
            </w:r>
          </w:p>
        </w:tc>
      </w:tr>
      <w:tr w:rsidR="00541393">
        <w:trPr>
          <w:cantSplit/>
          <w:trHeight w:hRule="exact" w:val="1023"/>
        </w:trPr>
        <w:tc>
          <w:tcPr>
            <w:tcW w:w="991" w:type="dxa"/>
            <w:vMerge w:val="restart"/>
            <w:tcBorders>
              <w:top w:val="nil"/>
              <w:left w:val="single" w:sz="6" w:space="0" w:color="000000"/>
              <w:bottom w:val="single" w:sz="6" w:space="0" w:color="000000"/>
              <w:right w:val="single" w:sz="6" w:space="0" w:color="000000"/>
            </w:tcBorders>
            <w:tcMar>
              <w:left w:w="60" w:type="dxa"/>
              <w:right w:w="60" w:type="dxa"/>
            </w:tcMar>
            <w:vAlign w:val="center"/>
          </w:tcPr>
          <w:p w:rsidR="00541393" w:rsidRDefault="00541393">
            <w:pPr>
              <w:spacing w:line="240" w:lineRule="atLeast"/>
              <w:rPr>
                <w:rFonts w:ascii="宋体" w:hAnsi="宋体" w:cs="宋体"/>
                <w:sz w:val="15"/>
                <w:szCs w:val="15"/>
              </w:rPr>
            </w:pPr>
            <w:r>
              <w:rPr>
                <w:rFonts w:ascii="宋体" w:hAnsi="宋体" w:cs="宋体" w:hint="eastAsia"/>
                <w:sz w:val="15"/>
                <w:szCs w:val="15"/>
              </w:rPr>
              <w:t>教学团队</w:t>
            </w:r>
          </w:p>
          <w:p w:rsidR="00541393" w:rsidRDefault="00541393">
            <w:pPr>
              <w:spacing w:line="240" w:lineRule="atLeast"/>
              <w:rPr>
                <w:rFonts w:ascii="宋体" w:hAnsi="宋体" w:cs="宋体"/>
                <w:sz w:val="15"/>
                <w:szCs w:val="15"/>
              </w:rPr>
            </w:pPr>
            <w:r>
              <w:rPr>
                <w:rFonts w:ascii="宋体" w:hAnsi="宋体" w:cs="宋体" w:hint="eastAsia"/>
                <w:sz w:val="15"/>
                <w:szCs w:val="15"/>
              </w:rPr>
              <w:t>（15分）</w:t>
            </w: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团队结构（5分）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有稳定的不少于3人的教学团队，并根据课程需要配备助教；有合理的知识结构和年龄结构，团队成员中至少有二名具有或副高（含）以上职称或博士学位；成员能独立承担课程教学；课程负责人具有一定学术造诣和丰富的教学经验，具有副高及以上职称或博士学位，并参与至少三分之一学时的课程教学。</w:t>
            </w:r>
          </w:p>
        </w:tc>
      </w:tr>
      <w:tr w:rsidR="00541393">
        <w:trPr>
          <w:cantSplit/>
          <w:trHeight w:hRule="exact" w:val="612"/>
        </w:trPr>
        <w:tc>
          <w:tcPr>
            <w:tcW w:w="991" w:type="dxa"/>
            <w:vMerge/>
            <w:tcBorders>
              <w:top w:val="nil"/>
              <w:left w:val="single" w:sz="6" w:space="0" w:color="000000"/>
              <w:bottom w:val="single" w:sz="6" w:space="0" w:color="000000"/>
              <w:right w:val="single" w:sz="6" w:space="0" w:color="000000"/>
            </w:tcBorders>
            <w:tcMar>
              <w:left w:w="60" w:type="dxa"/>
              <w:right w:w="60" w:type="dxa"/>
            </w:tcMar>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团队建设（5分）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团队教师责任感强、团结协作精神好；成员有合理的培养计划；鼓励有实践背景的教师参与教学团队。</w:t>
            </w:r>
          </w:p>
        </w:tc>
      </w:tr>
      <w:tr w:rsidR="00541393">
        <w:trPr>
          <w:cantSplit/>
          <w:trHeight w:hRule="exact" w:val="677"/>
        </w:trPr>
        <w:tc>
          <w:tcPr>
            <w:tcW w:w="991" w:type="dxa"/>
            <w:vMerge/>
            <w:tcBorders>
              <w:top w:val="nil"/>
              <w:left w:val="single" w:sz="6" w:space="0" w:color="000000"/>
              <w:bottom w:val="single" w:sz="6" w:space="0" w:color="000000"/>
              <w:right w:val="single" w:sz="6" w:space="0" w:color="000000"/>
            </w:tcBorders>
            <w:tcMar>
              <w:left w:w="60" w:type="dxa"/>
              <w:right w:w="60" w:type="dxa"/>
            </w:tcMar>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教学改革（5分）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教学思想活跃，教学改革与研究有思路、有举措、有成果；积极参加教学研究并推动教学改革，团队承担有校级及以上教学研究改革项目，有相应的教学研究论文或改革项目。</w:t>
            </w:r>
          </w:p>
        </w:tc>
      </w:tr>
      <w:tr w:rsidR="00541393">
        <w:trPr>
          <w:cantSplit/>
          <w:trHeight w:hRule="exact" w:val="1702"/>
        </w:trPr>
        <w:tc>
          <w:tcPr>
            <w:tcW w:w="991" w:type="dxa"/>
            <w:vMerge w:val="restart"/>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sz w:val="15"/>
                <w:szCs w:val="15"/>
              </w:rPr>
            </w:pPr>
            <w:r>
              <w:rPr>
                <w:rFonts w:ascii="宋体" w:hAnsi="宋体" w:hint="eastAsia"/>
                <w:sz w:val="15"/>
                <w:szCs w:val="15"/>
              </w:rPr>
              <w:t>教学内容</w:t>
            </w:r>
          </w:p>
          <w:p w:rsidR="00541393" w:rsidRDefault="00541393">
            <w:pPr>
              <w:spacing w:line="240" w:lineRule="atLeast"/>
              <w:rPr>
                <w:rFonts w:ascii="宋体" w:hAnsi="宋体"/>
                <w:sz w:val="15"/>
                <w:szCs w:val="15"/>
              </w:rPr>
            </w:pPr>
            <w:r>
              <w:rPr>
                <w:rFonts w:ascii="宋体" w:hAnsi="宋体" w:hint="eastAsia"/>
                <w:sz w:val="15"/>
                <w:szCs w:val="15"/>
              </w:rPr>
              <w:t>（15分）</w:t>
            </w:r>
          </w:p>
          <w:p w:rsidR="00541393" w:rsidRDefault="00541393">
            <w:pPr>
              <w:spacing w:line="240" w:lineRule="atLeast"/>
              <w:rPr>
                <w:rFonts w:ascii="宋体" w:hAnsi="宋体"/>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课程内容</w:t>
            </w:r>
          </w:p>
          <w:p w:rsidR="00541393" w:rsidRDefault="00541393">
            <w:pPr>
              <w:spacing w:line="240" w:lineRule="exact"/>
              <w:rPr>
                <w:rFonts w:ascii="宋体" w:hAnsi="宋体"/>
                <w:sz w:val="15"/>
                <w:szCs w:val="15"/>
              </w:rPr>
            </w:pPr>
            <w:r>
              <w:rPr>
                <w:rFonts w:ascii="宋体" w:hAnsi="宋体" w:hint="eastAsia"/>
                <w:sz w:val="15"/>
                <w:szCs w:val="15"/>
              </w:rPr>
              <w:t>（10分）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基础性，即是开设的课程能利于学生了解人类历史发展进程和相关学科专业发展的基础知识。积极性，即是开设的课程能利于学生树立人类社会共同发展的价值观，有效培养学生的责任意识、奉献精神和合作精神。创新性，即是开设的课程能反映任课教师的创新性成果，提高学生创新能力培养，有利于引导学生了解学科发展前沿。交叉性，即是开设的课程利于促进不同学科间的交叉渗透，培养学生跨学科学习能力。国际性，即是开设的课程有利于促进国际交流与合作，培养学生的国际视野。校本文化性，即是开设的有利于体现本校办学传统与专业优势或特色，每个模块开设1-2门体现学校办学特色的核心课程。（符合3个特性则可视为优秀）</w:t>
            </w:r>
          </w:p>
        </w:tc>
      </w:tr>
      <w:tr w:rsidR="00541393">
        <w:trPr>
          <w:cantSplit/>
          <w:trHeight w:hRule="exact" w:val="356"/>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教材建设（5分）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选用高水平的优秀教材，或编写出优质适用的教材或内部讲义（含电子版权）。</w:t>
            </w:r>
          </w:p>
        </w:tc>
      </w:tr>
      <w:tr w:rsidR="00541393">
        <w:trPr>
          <w:cantSplit/>
          <w:trHeight w:hRule="exact" w:val="601"/>
        </w:trPr>
        <w:tc>
          <w:tcPr>
            <w:tcW w:w="991" w:type="dxa"/>
            <w:vMerge w:val="restart"/>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sz w:val="15"/>
                <w:szCs w:val="15"/>
              </w:rPr>
            </w:pPr>
            <w:r>
              <w:rPr>
                <w:rFonts w:ascii="宋体" w:hAnsi="宋体" w:hint="eastAsia"/>
                <w:sz w:val="15"/>
                <w:szCs w:val="15"/>
              </w:rPr>
              <w:t>教学条件</w:t>
            </w:r>
          </w:p>
          <w:p w:rsidR="00541393" w:rsidRDefault="00541393">
            <w:pPr>
              <w:spacing w:line="240" w:lineRule="atLeast"/>
              <w:rPr>
                <w:rFonts w:ascii="宋体" w:hAnsi="宋体"/>
                <w:sz w:val="15"/>
                <w:szCs w:val="15"/>
              </w:rPr>
            </w:pPr>
            <w:r>
              <w:rPr>
                <w:rFonts w:ascii="宋体" w:hAnsi="宋体" w:hint="eastAsia"/>
                <w:sz w:val="15"/>
                <w:szCs w:val="15"/>
              </w:rPr>
              <w:t>（15分）</w:t>
            </w:r>
          </w:p>
          <w:p w:rsidR="00541393" w:rsidRDefault="00541393">
            <w:pPr>
              <w:spacing w:line="240" w:lineRule="atLeast"/>
              <w:rPr>
                <w:rFonts w:ascii="宋体" w:hAnsi="宋体"/>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基本资源</w:t>
            </w:r>
          </w:p>
          <w:p w:rsidR="00541393" w:rsidRDefault="00541393">
            <w:pPr>
              <w:spacing w:line="240" w:lineRule="exact"/>
              <w:rPr>
                <w:rFonts w:ascii="宋体" w:hAnsi="宋体"/>
                <w:sz w:val="15"/>
                <w:szCs w:val="15"/>
              </w:rPr>
            </w:pPr>
            <w:r>
              <w:rPr>
                <w:rFonts w:ascii="宋体" w:hAnsi="宋体" w:hint="eastAsia"/>
                <w:sz w:val="15"/>
                <w:szCs w:val="15"/>
              </w:rPr>
              <w:t>（10分）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具备能反映课程教学思想、教学内容、教学方法、教学过程的完备教学资源，包括课程简介、教学大纲、教案或演示文稿、教学计划、重点难点指导、作业等反映教学活动必需的资源。</w:t>
            </w:r>
          </w:p>
        </w:tc>
      </w:tr>
      <w:tr w:rsidR="00541393">
        <w:trPr>
          <w:cantSplit/>
          <w:trHeight w:hRule="exact" w:val="725"/>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拓展资源（5分）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为学生自主学习提供有效的文献资料，提供与授课内容相关的5本以上经典的前沿的课外参考阅读书目或参考文献；建设与课程相配套的习题库、案例库、素材库等；鼓励进行课程教学录像，教学录像要求与知识点相匹配，录像布局合理，符合MOOC教学模式要求，体现课程特色。</w:t>
            </w:r>
          </w:p>
        </w:tc>
      </w:tr>
      <w:tr w:rsidR="00541393">
        <w:trPr>
          <w:cantSplit/>
          <w:trHeight w:hRule="exact" w:val="877"/>
        </w:trPr>
        <w:tc>
          <w:tcPr>
            <w:tcW w:w="991" w:type="dxa"/>
            <w:vMerge w:val="restart"/>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sz w:val="15"/>
                <w:szCs w:val="15"/>
              </w:rPr>
            </w:pPr>
            <w:r>
              <w:rPr>
                <w:rFonts w:ascii="宋体" w:hAnsi="宋体" w:hint="eastAsia"/>
                <w:sz w:val="15"/>
                <w:szCs w:val="15"/>
              </w:rPr>
              <w:t>教学过程</w:t>
            </w:r>
          </w:p>
          <w:p w:rsidR="00541393" w:rsidRDefault="00541393">
            <w:pPr>
              <w:spacing w:line="240" w:lineRule="atLeast"/>
              <w:rPr>
                <w:rFonts w:ascii="宋体" w:hAnsi="宋体"/>
                <w:sz w:val="15"/>
                <w:szCs w:val="15"/>
              </w:rPr>
            </w:pPr>
            <w:r>
              <w:rPr>
                <w:rFonts w:ascii="宋体" w:hAnsi="宋体" w:hint="eastAsia"/>
                <w:sz w:val="15"/>
                <w:szCs w:val="15"/>
              </w:rPr>
              <w:t>（30分）</w:t>
            </w: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教学方法与手段（10分）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结合课程特点，通过课堂模拟、项目参与、社会实践和角色扮演等多种形式，进行问题引领、多维互动的启发式、探究式、讨论式、案例式和体验式教学；积极倡导小班授课，研讨为主的课堂教学组织形式；运用校内外课程平台等现代教育技术手段开展混合式教学实践。</w:t>
            </w:r>
          </w:p>
        </w:tc>
      </w:tr>
      <w:tr w:rsidR="00541393">
        <w:trPr>
          <w:cantSplit/>
          <w:trHeight w:hRule="exact" w:val="607"/>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教学组织</w:t>
            </w:r>
          </w:p>
          <w:p w:rsidR="00541393" w:rsidRDefault="00541393">
            <w:pPr>
              <w:spacing w:line="240" w:lineRule="exact"/>
              <w:rPr>
                <w:rFonts w:ascii="宋体" w:hAnsi="宋体"/>
                <w:sz w:val="15"/>
                <w:szCs w:val="15"/>
              </w:rPr>
            </w:pPr>
            <w:r>
              <w:rPr>
                <w:rFonts w:ascii="宋体" w:hAnsi="宋体" w:hint="eastAsia"/>
                <w:sz w:val="15"/>
                <w:szCs w:val="15"/>
              </w:rPr>
              <w:t>（10分）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由课堂讲授、经典阅读、课内外练习及课堂讨论等多教学环节组成，促进学生知情意发展，安排一定的课外阅读作业，提交读书报告或小论文等检测自主学习效果；组织学生进行分组研讨。</w:t>
            </w:r>
          </w:p>
        </w:tc>
      </w:tr>
      <w:tr w:rsidR="00541393">
        <w:trPr>
          <w:cantSplit/>
          <w:trHeight w:hRule="exact" w:val="567"/>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课程考核</w:t>
            </w:r>
          </w:p>
          <w:p w:rsidR="00541393" w:rsidRDefault="00541393">
            <w:pPr>
              <w:spacing w:line="240" w:lineRule="exact"/>
              <w:rPr>
                <w:rFonts w:ascii="宋体" w:hAnsi="宋体"/>
                <w:sz w:val="15"/>
                <w:szCs w:val="15"/>
              </w:rPr>
            </w:pPr>
            <w:r>
              <w:rPr>
                <w:rFonts w:ascii="宋体" w:hAnsi="宋体" w:hint="eastAsia"/>
                <w:sz w:val="15"/>
                <w:szCs w:val="15"/>
              </w:rPr>
              <w:t>（10分）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注重形成性评价，考核形式灵活多样，期末考核占总成绩的比例不超过50%。</w:t>
            </w:r>
          </w:p>
        </w:tc>
      </w:tr>
      <w:tr w:rsidR="00541393">
        <w:trPr>
          <w:cantSplit/>
          <w:trHeight w:hRule="exact" w:val="507"/>
        </w:trPr>
        <w:tc>
          <w:tcPr>
            <w:tcW w:w="991" w:type="dxa"/>
            <w:vMerge w:val="restart"/>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sz w:val="15"/>
                <w:szCs w:val="15"/>
              </w:rPr>
            </w:pPr>
            <w:r>
              <w:rPr>
                <w:rFonts w:ascii="宋体" w:hAnsi="宋体" w:hint="eastAsia"/>
                <w:sz w:val="15"/>
                <w:szCs w:val="15"/>
              </w:rPr>
              <w:t>课程效果</w:t>
            </w:r>
          </w:p>
          <w:p w:rsidR="00541393" w:rsidRDefault="00541393">
            <w:pPr>
              <w:spacing w:line="240" w:lineRule="atLeast"/>
              <w:rPr>
                <w:rFonts w:ascii="宋体" w:hAnsi="宋体"/>
                <w:sz w:val="15"/>
                <w:szCs w:val="15"/>
              </w:rPr>
            </w:pPr>
            <w:r>
              <w:rPr>
                <w:rFonts w:ascii="宋体" w:hAnsi="宋体" w:hint="eastAsia"/>
                <w:sz w:val="15"/>
                <w:szCs w:val="15"/>
              </w:rPr>
              <w:t>（20分）</w:t>
            </w: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教学安排（4分）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Cs w:val="15"/>
              </w:rPr>
            </w:pPr>
            <w:r>
              <w:rPr>
                <w:rFonts w:ascii="宋体" w:hAnsi="宋体" w:cs="宋体" w:hint="eastAsia"/>
                <w:sz w:val="15"/>
                <w:szCs w:val="15"/>
              </w:rPr>
              <w:t>原则上每学期至少开设1-3个教学班。</w:t>
            </w:r>
          </w:p>
        </w:tc>
      </w:tr>
      <w:tr w:rsidR="00541393">
        <w:trPr>
          <w:cantSplit/>
          <w:trHeight w:hRule="exact" w:val="567"/>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教学效果（8分）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课程深受学生欢迎，选课学生多，开课班次多；学生到课率高，教学效果好，近三次课堂教学质量评价成绩均在90分以上。</w:t>
            </w:r>
          </w:p>
        </w:tc>
      </w:tr>
      <w:tr w:rsidR="00541393">
        <w:trPr>
          <w:cantSplit/>
          <w:trHeight w:hRule="exact" w:val="616"/>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推广价值（6分）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在相应的教学网络平台上线运行，能实现有效共享，有加入各类高校课程联盟的可能性；课程特色鲜明，具有示范辐射作用和推广价值，建设期内至少开设一次公开课。</w:t>
            </w:r>
          </w:p>
        </w:tc>
      </w:tr>
      <w:tr w:rsidR="00541393">
        <w:trPr>
          <w:cantSplit/>
          <w:trHeight w:hRule="exact" w:val="364"/>
        </w:trPr>
        <w:tc>
          <w:tcPr>
            <w:tcW w:w="991" w:type="dxa"/>
            <w:vMerge/>
            <w:tcBorders>
              <w:top w:val="nil"/>
              <w:left w:val="single" w:sz="6" w:space="0" w:color="000000"/>
              <w:bottom w:val="single" w:sz="6" w:space="0" w:color="000000"/>
              <w:right w:val="single" w:sz="6" w:space="0" w:color="000000"/>
            </w:tcBorders>
            <w:vAlign w:val="center"/>
          </w:tcPr>
          <w:p w:rsidR="00541393" w:rsidRDefault="00541393">
            <w:pPr>
              <w:spacing w:line="240" w:lineRule="atLeast"/>
              <w:rPr>
                <w:rFonts w:ascii="宋体" w:hAnsi="宋体" w:cs="宋体"/>
                <w:color w:val="444444"/>
                <w:sz w:val="15"/>
                <w:szCs w:val="15"/>
              </w:rPr>
            </w:pPr>
          </w:p>
        </w:tc>
        <w:tc>
          <w:tcPr>
            <w:tcW w:w="1125"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sz w:val="15"/>
                <w:szCs w:val="15"/>
              </w:rPr>
            </w:pPr>
            <w:r>
              <w:rPr>
                <w:rFonts w:ascii="宋体" w:hAnsi="宋体" w:hint="eastAsia"/>
                <w:sz w:val="15"/>
                <w:szCs w:val="15"/>
              </w:rPr>
              <w:t>建设规划（2分）</w:t>
            </w:r>
          </w:p>
        </w:tc>
        <w:tc>
          <w:tcPr>
            <w:tcW w:w="6240" w:type="dxa"/>
            <w:tcBorders>
              <w:top w:val="nil"/>
              <w:left w:val="nil"/>
              <w:bottom w:val="single" w:sz="6" w:space="0" w:color="000000"/>
              <w:right w:val="single" w:sz="6" w:space="0" w:color="000000"/>
            </w:tcBorders>
            <w:tcMar>
              <w:left w:w="60" w:type="dxa"/>
              <w:right w:w="60" w:type="dxa"/>
            </w:tcMar>
            <w:vAlign w:val="center"/>
          </w:tcPr>
          <w:p w:rsidR="00541393" w:rsidRDefault="00541393">
            <w:pPr>
              <w:spacing w:line="240" w:lineRule="exact"/>
              <w:rPr>
                <w:rFonts w:ascii="宋体" w:hAnsi="宋体" w:cs="宋体"/>
                <w:sz w:val="15"/>
                <w:szCs w:val="15"/>
              </w:rPr>
            </w:pPr>
            <w:r>
              <w:rPr>
                <w:rFonts w:ascii="宋体" w:hAnsi="宋体" w:cs="宋体" w:hint="eastAsia"/>
                <w:sz w:val="15"/>
                <w:szCs w:val="15"/>
              </w:rPr>
              <w:t>提出课程后续建设的方案与想法；验收后课程至少可持续开课2年。</w:t>
            </w:r>
          </w:p>
        </w:tc>
      </w:tr>
    </w:tbl>
    <w:p w:rsidR="00541393" w:rsidRDefault="00541393">
      <w:pPr>
        <w:pStyle w:val="a6"/>
        <w:spacing w:before="0" w:beforeAutospacing="0" w:after="0" w:afterAutospacing="0" w:line="240" w:lineRule="exact"/>
        <w:ind w:firstLine="420"/>
      </w:pPr>
      <w:r>
        <w:rPr>
          <w:rFonts w:hint="eastAsia"/>
        </w:rPr>
        <w:t>注：</w:t>
      </w:r>
      <w:r>
        <w:t>1</w:t>
      </w:r>
      <w:r>
        <w:rPr>
          <w:rFonts w:hint="eastAsia"/>
        </w:rPr>
        <w:t>、若出现教学事故，根据事故等级回收一定比例的资助经费；</w:t>
      </w:r>
      <w:r>
        <w:t>2</w:t>
      </w:r>
      <w:r>
        <w:rPr>
          <w:rFonts w:hint="eastAsia"/>
        </w:rPr>
        <w:t>、优秀标准总分应达到90分，良好</w:t>
      </w:r>
      <w:r>
        <w:t>80</w:t>
      </w:r>
      <w:r>
        <w:rPr>
          <w:rFonts w:hint="eastAsia"/>
        </w:rPr>
        <w:t>分。</w:t>
      </w:r>
    </w:p>
    <w:p w:rsidR="00541393" w:rsidRDefault="00541393">
      <w:pPr>
        <w:tabs>
          <w:tab w:val="left" w:pos="3420"/>
        </w:tabs>
        <w:spacing w:line="560" w:lineRule="exact"/>
        <w:rPr>
          <w:rFonts w:ascii="仿宋_GB2312" w:eastAsia="仿宋_GB2312" w:hAnsi="Times New Roman"/>
          <w:snapToGrid w:val="0"/>
          <w:sz w:val="32"/>
          <w:szCs w:val="32"/>
        </w:rPr>
      </w:pPr>
      <w:r>
        <w:rPr>
          <w:rFonts w:ascii="仿宋_GB2312" w:eastAsia="仿宋_GB2312" w:hAnsi="华文仿宋"/>
          <w:snapToGrid w:val="0"/>
          <w:sz w:val="32"/>
          <w:szCs w:val="32"/>
        </w:rPr>
        <w:tab/>
      </w:r>
    </w:p>
    <w:tbl>
      <w:tblPr>
        <w:tblW w:w="0" w:type="auto"/>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4678"/>
        <w:gridCol w:w="3969"/>
      </w:tblGrid>
      <w:tr w:rsidR="00541393">
        <w:trPr>
          <w:cantSplit/>
          <w:trHeight w:val="567"/>
        </w:trPr>
        <w:tc>
          <w:tcPr>
            <w:tcW w:w="4678" w:type="dxa"/>
            <w:tcBorders>
              <w:bottom w:val="single" w:sz="4" w:space="0" w:color="auto"/>
            </w:tcBorders>
            <w:vAlign w:val="center"/>
          </w:tcPr>
          <w:p w:rsidR="00541393" w:rsidRDefault="00541393">
            <w:pPr>
              <w:framePr w:wrap="notBeside" w:hAnchor="margin" w:xAlign="center" w:yAlign="bottom"/>
              <w:adjustRightInd w:val="0"/>
              <w:snapToGrid w:val="0"/>
              <w:ind w:leftChars="100" w:left="210"/>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湖北大学学校办公室</w:t>
            </w:r>
          </w:p>
        </w:tc>
        <w:tc>
          <w:tcPr>
            <w:tcW w:w="3969" w:type="dxa"/>
            <w:tcBorders>
              <w:bottom w:val="single" w:sz="4" w:space="0" w:color="auto"/>
            </w:tcBorders>
            <w:vAlign w:val="center"/>
          </w:tcPr>
          <w:p w:rsidR="00541393" w:rsidRDefault="00541393">
            <w:pPr>
              <w:framePr w:wrap="notBeside" w:hAnchor="margin" w:xAlign="center" w:yAlign="bottom"/>
              <w:wordWrap w:val="0"/>
              <w:adjustRightInd w:val="0"/>
              <w:snapToGrid w:val="0"/>
              <w:ind w:rightChars="100" w:right="210"/>
              <w:jc w:val="right"/>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2017年9 月12日印发</w:t>
            </w:r>
          </w:p>
        </w:tc>
      </w:tr>
      <w:tr w:rsidR="00541393">
        <w:trPr>
          <w:cantSplit/>
          <w:trHeight w:val="567"/>
        </w:trPr>
        <w:tc>
          <w:tcPr>
            <w:tcW w:w="4678" w:type="dxa"/>
            <w:tcBorders>
              <w:bottom w:val="nil"/>
            </w:tcBorders>
            <w:vAlign w:val="center"/>
          </w:tcPr>
          <w:p w:rsidR="00541393" w:rsidRDefault="00541393">
            <w:pPr>
              <w:framePr w:wrap="notBeside" w:hAnchor="margin" w:xAlign="center" w:yAlign="bottom"/>
              <w:adjustRightInd w:val="0"/>
              <w:snapToGrid w:val="0"/>
              <w:ind w:firstLineChars="50" w:firstLine="140"/>
              <w:outlineLvl w:val="0"/>
              <w:rPr>
                <w:rFonts w:ascii="仿宋_GB2312" w:eastAsia="仿宋_GB2312" w:hAnsi="仿宋"/>
                <w:snapToGrid w:val="0"/>
                <w:kern w:val="0"/>
                <w:sz w:val="28"/>
                <w:szCs w:val="32"/>
              </w:rPr>
            </w:pPr>
          </w:p>
        </w:tc>
        <w:tc>
          <w:tcPr>
            <w:tcW w:w="3969" w:type="dxa"/>
            <w:tcBorders>
              <w:bottom w:val="nil"/>
            </w:tcBorders>
            <w:vAlign w:val="center"/>
          </w:tcPr>
          <w:p w:rsidR="00541393" w:rsidRDefault="00541393">
            <w:pPr>
              <w:framePr w:wrap="notBeside" w:hAnchor="margin" w:xAlign="center" w:yAlign="bottom"/>
              <w:adjustRightInd w:val="0"/>
              <w:snapToGrid w:val="0"/>
              <w:ind w:rightChars="100" w:right="210"/>
              <w:jc w:val="center"/>
              <w:outlineLvl w:val="0"/>
              <w:rPr>
                <w:rFonts w:ascii="仿宋_GB2312" w:eastAsia="仿宋_GB2312" w:hAnsi="仿宋"/>
                <w:snapToGrid w:val="0"/>
                <w:kern w:val="0"/>
                <w:sz w:val="28"/>
                <w:szCs w:val="32"/>
              </w:rPr>
            </w:pPr>
            <w:r>
              <w:rPr>
                <w:rFonts w:ascii="仿宋_GB2312" w:eastAsia="仿宋_GB2312" w:hAnsi="仿宋" w:hint="eastAsia"/>
                <w:snapToGrid w:val="0"/>
                <w:kern w:val="0"/>
                <w:sz w:val="32"/>
                <w:szCs w:val="32"/>
              </w:rPr>
              <w:t xml:space="preserve">  校对:陈  辉</w:t>
            </w:r>
          </w:p>
        </w:tc>
      </w:tr>
    </w:tbl>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rPr>
          <w:sz w:val="32"/>
          <w:szCs w:val="32"/>
        </w:rPr>
      </w:pPr>
    </w:p>
    <w:p w:rsidR="00541393" w:rsidRDefault="00541393">
      <w:pPr>
        <w:tabs>
          <w:tab w:val="left" w:pos="7874"/>
        </w:tabs>
        <w:rPr>
          <w:sz w:val="32"/>
          <w:szCs w:val="32"/>
        </w:rPr>
      </w:pPr>
    </w:p>
    <w:p w:rsidR="00541393" w:rsidRDefault="00541393">
      <w:pPr>
        <w:rPr>
          <w:sz w:val="32"/>
          <w:szCs w:val="32"/>
        </w:rPr>
      </w:pPr>
    </w:p>
    <w:p w:rsidR="00E44408" w:rsidRDefault="00E44408"/>
    <w:sectPr w:rsidR="00E44408" w:rsidSect="00664F1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730" w:rsidRDefault="00FE1FE1">
      <w:r>
        <w:separator/>
      </w:r>
    </w:p>
  </w:endnote>
  <w:endnote w:type="continuationSeparator" w:id="0">
    <w:p w:rsidR="00EC0730" w:rsidRDefault="00FE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Microsoft JhengHei Light"/>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60A" w:rsidRDefault="000A018B">
    <w:pPr>
      <w:pStyle w:val="a5"/>
      <w:tabs>
        <w:tab w:val="clear" w:pos="4153"/>
        <w:tab w:val="clear" w:pos="8306"/>
      </w:tabs>
      <w:ind w:left="350" w:right="360"/>
      <w:rPr>
        <w:sz w:val="28"/>
      </w:rPr>
    </w:pPr>
    <w:r>
      <w:rPr>
        <w:rStyle w:val="a3"/>
        <w:rFonts w:hint="eastAsia"/>
        <w:sz w:val="28"/>
      </w:rPr>
      <w:t>－</w:t>
    </w:r>
    <w:r>
      <w:rPr>
        <w:rFonts w:ascii="Times New Roman" w:hAnsi="Times New Roman"/>
        <w:sz w:val="28"/>
      </w:rPr>
      <w:fldChar w:fldCharType="begin"/>
    </w:r>
    <w:r>
      <w:rPr>
        <w:rStyle w:val="a3"/>
        <w:rFonts w:ascii="Times New Roman" w:hAnsi="Times New Roman"/>
        <w:sz w:val="28"/>
      </w:rPr>
      <w:instrText xml:space="preserve"> PAGE </w:instrText>
    </w:r>
    <w:r>
      <w:rPr>
        <w:rFonts w:ascii="Times New Roman" w:hAnsi="Times New Roman"/>
        <w:sz w:val="28"/>
      </w:rPr>
      <w:fldChar w:fldCharType="separate"/>
    </w:r>
    <w:r>
      <w:rPr>
        <w:rStyle w:val="a3"/>
        <w:rFonts w:ascii="Times New Roman" w:hAnsi="Times New Roman"/>
        <w:noProof/>
        <w:sz w:val="28"/>
      </w:rPr>
      <w:t>6</w:t>
    </w:r>
    <w:r>
      <w:rPr>
        <w:rFonts w:ascii="Times New Roman" w:hAnsi="Times New Roman"/>
        <w:sz w:val="28"/>
      </w:rPr>
      <w:fldChar w:fldCharType="end"/>
    </w:r>
    <w:r>
      <w:rPr>
        <w:rStyle w:val="a3"/>
        <w:rFonts w:hint="eastAsia"/>
        <w:sz w:val="28"/>
      </w:rPr>
      <w:t>－</w:t>
    </w:r>
  </w:p>
  <w:p w:rsidR="00E3060A" w:rsidRDefault="006D763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60A" w:rsidRDefault="000A018B">
    <w:pPr>
      <w:pStyle w:val="a5"/>
      <w:tabs>
        <w:tab w:val="clear" w:pos="4153"/>
        <w:tab w:val="clear" w:pos="8306"/>
      </w:tabs>
      <w:ind w:left="350" w:right="360"/>
      <w:jc w:val="right"/>
      <w:rPr>
        <w:sz w:val="28"/>
      </w:rPr>
    </w:pPr>
    <w:r>
      <w:rPr>
        <w:rStyle w:val="a3"/>
        <w:rFonts w:hint="eastAsia"/>
        <w:sz w:val="28"/>
      </w:rPr>
      <w:t>－</w:t>
    </w:r>
    <w:r>
      <w:rPr>
        <w:rFonts w:ascii="Times New Roman" w:hAnsi="Times New Roman"/>
        <w:sz w:val="28"/>
      </w:rPr>
      <w:fldChar w:fldCharType="begin"/>
    </w:r>
    <w:r>
      <w:rPr>
        <w:rStyle w:val="a3"/>
        <w:rFonts w:ascii="Times New Roman" w:hAnsi="Times New Roman"/>
        <w:sz w:val="28"/>
      </w:rPr>
      <w:instrText xml:space="preserve"> PAGE </w:instrText>
    </w:r>
    <w:r>
      <w:rPr>
        <w:rFonts w:ascii="Times New Roman" w:hAnsi="Times New Roman"/>
        <w:sz w:val="28"/>
      </w:rPr>
      <w:fldChar w:fldCharType="separate"/>
    </w:r>
    <w:r w:rsidR="006D763B">
      <w:rPr>
        <w:rStyle w:val="a3"/>
        <w:rFonts w:ascii="Times New Roman" w:hAnsi="Times New Roman"/>
        <w:noProof/>
        <w:sz w:val="28"/>
      </w:rPr>
      <w:t>9</w:t>
    </w:r>
    <w:r>
      <w:rPr>
        <w:rFonts w:ascii="Times New Roman" w:hAnsi="Times New Roman"/>
        <w:sz w:val="28"/>
      </w:rPr>
      <w:fldChar w:fldCharType="end"/>
    </w:r>
    <w:r>
      <w:rPr>
        <w:rStyle w:val="a3"/>
        <w:rFonts w:hint="eastAsia"/>
        <w:sz w:val="28"/>
      </w:rPr>
      <w:t>－</w:t>
    </w:r>
  </w:p>
  <w:p w:rsidR="00E3060A" w:rsidRDefault="006D763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730" w:rsidRDefault="00FE1FE1">
      <w:r>
        <w:separator/>
      </w:r>
    </w:p>
  </w:footnote>
  <w:footnote w:type="continuationSeparator" w:id="0">
    <w:p w:rsidR="00EC0730" w:rsidRDefault="00FE1F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4FE"/>
    <w:rsid w:val="000874FE"/>
    <w:rsid w:val="000A018B"/>
    <w:rsid w:val="003516C2"/>
    <w:rsid w:val="00541393"/>
    <w:rsid w:val="006D763B"/>
    <w:rsid w:val="00BC4690"/>
    <w:rsid w:val="00C942B7"/>
    <w:rsid w:val="00E44408"/>
    <w:rsid w:val="00EC0730"/>
    <w:rsid w:val="00FA55D8"/>
    <w:rsid w:val="00FE1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BB07891-5886-42AE-851B-2C212B1C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41393"/>
  </w:style>
  <w:style w:type="character" w:customStyle="1" w:styleId="Char">
    <w:name w:val="批注文字 Char"/>
    <w:link w:val="a4"/>
    <w:qFormat/>
    <w:rsid w:val="00541393"/>
  </w:style>
  <w:style w:type="character" w:customStyle="1" w:styleId="Char0">
    <w:name w:val="页脚 Char"/>
    <w:link w:val="a5"/>
    <w:uiPriority w:val="99"/>
    <w:rsid w:val="00541393"/>
    <w:rPr>
      <w:sz w:val="18"/>
      <w:szCs w:val="18"/>
    </w:rPr>
  </w:style>
  <w:style w:type="paragraph" w:styleId="a4">
    <w:name w:val="annotation text"/>
    <w:basedOn w:val="a"/>
    <w:link w:val="Char"/>
    <w:unhideWhenUsed/>
    <w:qFormat/>
    <w:rsid w:val="00541393"/>
    <w:pPr>
      <w:jc w:val="left"/>
    </w:pPr>
  </w:style>
  <w:style w:type="character" w:customStyle="1" w:styleId="Char1">
    <w:name w:val="批注文字 Char1"/>
    <w:basedOn w:val="a0"/>
    <w:uiPriority w:val="99"/>
    <w:semiHidden/>
    <w:rsid w:val="00541393"/>
  </w:style>
  <w:style w:type="paragraph" w:customStyle="1" w:styleId="1">
    <w:name w:val="列出段落1"/>
    <w:basedOn w:val="a"/>
    <w:uiPriority w:val="99"/>
    <w:unhideWhenUsed/>
    <w:qFormat/>
    <w:rsid w:val="00541393"/>
    <w:pPr>
      <w:widowControl/>
      <w:spacing w:after="200" w:line="276" w:lineRule="auto"/>
      <w:ind w:firstLineChars="200" w:firstLine="420"/>
      <w:jc w:val="left"/>
    </w:pPr>
    <w:rPr>
      <w:rFonts w:ascii="Calibri" w:eastAsia="宋体" w:hAnsi="Calibri" w:cs="Times New Roman"/>
      <w:kern w:val="0"/>
      <w:sz w:val="22"/>
    </w:rPr>
  </w:style>
  <w:style w:type="paragraph" w:styleId="a6">
    <w:name w:val="Normal (Web)"/>
    <w:basedOn w:val="a"/>
    <w:uiPriority w:val="99"/>
    <w:qFormat/>
    <w:rsid w:val="00541393"/>
    <w:pPr>
      <w:widowControl/>
      <w:spacing w:before="100" w:beforeAutospacing="1" w:after="100" w:afterAutospacing="1" w:line="480" w:lineRule="auto"/>
      <w:jc w:val="left"/>
    </w:pPr>
    <w:rPr>
      <w:rFonts w:ascii="宋体" w:eastAsia="宋体" w:hAnsi="宋体" w:cs="宋体"/>
      <w:kern w:val="0"/>
      <w:sz w:val="18"/>
      <w:szCs w:val="18"/>
    </w:rPr>
  </w:style>
  <w:style w:type="paragraph" w:styleId="a5">
    <w:name w:val="footer"/>
    <w:basedOn w:val="a"/>
    <w:link w:val="Char0"/>
    <w:uiPriority w:val="99"/>
    <w:unhideWhenUsed/>
    <w:rsid w:val="00541393"/>
    <w:pPr>
      <w:tabs>
        <w:tab w:val="center" w:pos="4153"/>
        <w:tab w:val="right" w:pos="8306"/>
      </w:tabs>
      <w:snapToGrid w:val="0"/>
      <w:jc w:val="left"/>
    </w:pPr>
    <w:rPr>
      <w:sz w:val="18"/>
      <w:szCs w:val="18"/>
    </w:rPr>
  </w:style>
  <w:style w:type="character" w:customStyle="1" w:styleId="Char10">
    <w:name w:val="页脚 Char1"/>
    <w:basedOn w:val="a0"/>
    <w:uiPriority w:val="99"/>
    <w:semiHidden/>
    <w:rsid w:val="005413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control" Target="activeX/activeX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E531053D-0904-4D26-ABF3-6E07DD308AB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720</Words>
  <Characters>4109</Characters>
  <Application>Microsoft Office Word</Application>
  <DocSecurity>0</DocSecurity>
  <Lines>34</Lines>
  <Paragraphs>9</Paragraphs>
  <ScaleCrop>false</ScaleCrop>
  <Company>Microsoft</Company>
  <LinksUpToDate>false</LinksUpToDate>
  <CharactersWithSpaces>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8</cp:revision>
  <dcterms:created xsi:type="dcterms:W3CDTF">2017-09-19T07:37:00Z</dcterms:created>
  <dcterms:modified xsi:type="dcterms:W3CDTF">2017-09-19T07:47:00Z</dcterms:modified>
</cp:coreProperties>
</file>